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D75E9" w14:textId="3880BEE4" w:rsidR="00527409" w:rsidRDefault="00527409" w:rsidP="00527409">
      <w:pPr>
        <w:framePr w:w="1272" w:hSpace="141" w:wrap="around" w:vAnchor="text" w:hAnchor="page" w:x="1507" w:y="185"/>
        <w:ind w:left="-426" w:right="79"/>
        <w:jc w:val="center"/>
      </w:pPr>
      <w:r>
        <w:rPr>
          <w:noProof/>
        </w:rPr>
        <w:drawing>
          <wp:inline distT="0" distB="0" distL="0" distR="0" wp14:anchorId="4941A6EC" wp14:editId="5B4C2799">
            <wp:extent cx="504825" cy="914400"/>
            <wp:effectExtent l="0" t="0" r="9525" b="0"/>
            <wp:docPr id="190753650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1651A" w14:textId="76799CC2" w:rsidR="00527409" w:rsidRDefault="00527409" w:rsidP="00527409">
      <w:pPr>
        <w:pStyle w:val="Didascalia"/>
        <w:spacing w:line="240" w:lineRule="atLeast"/>
        <w:ind w:left="-284"/>
        <w:rPr>
          <w:rFonts w:ascii="Calibri" w:hAnsi="Calibri"/>
          <w:sz w:val="48"/>
          <w:szCs w:val="48"/>
        </w:rPr>
      </w:pPr>
      <w:proofErr w:type="gramStart"/>
      <w:r>
        <w:rPr>
          <w:rFonts w:ascii="Calibri" w:hAnsi="Calibri"/>
          <w:sz w:val="48"/>
          <w:szCs w:val="48"/>
        </w:rPr>
        <w:t>COMUNE  DI</w:t>
      </w:r>
      <w:proofErr w:type="gramEnd"/>
      <w:r>
        <w:rPr>
          <w:rFonts w:ascii="Calibri" w:hAnsi="Calibri"/>
          <w:sz w:val="48"/>
          <w:szCs w:val="48"/>
        </w:rPr>
        <w:t xml:space="preserve">  FORIO</w:t>
      </w:r>
    </w:p>
    <w:p w14:paraId="1FE08138" w14:textId="77777777" w:rsidR="00527409" w:rsidRDefault="00527409" w:rsidP="00527409">
      <w:pPr>
        <w:spacing w:line="240" w:lineRule="atLeast"/>
        <w:jc w:val="center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Città Metropolitana di Napoli</w:t>
      </w:r>
    </w:p>
    <w:p w14:paraId="02CA150B" w14:textId="77777777" w:rsidR="00527409" w:rsidRDefault="00527409" w:rsidP="00527409">
      <w:pPr>
        <w:spacing w:line="240" w:lineRule="atLeast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Stazione di cura, soggiorno e turismo estiva ed invernale</w:t>
      </w:r>
    </w:p>
    <w:p w14:paraId="1D95F65A" w14:textId="20E2DB7F" w:rsidR="00527409" w:rsidRDefault="00B73303" w:rsidP="00527409">
      <w:pPr>
        <w:spacing w:line="240" w:lineRule="atLeast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UFFICIO ELETTORALE</w:t>
      </w:r>
    </w:p>
    <w:p w14:paraId="1D18ACBF" w14:textId="77777777" w:rsidR="00527409" w:rsidRDefault="00527409" w:rsidP="00527409">
      <w:pPr>
        <w:spacing w:line="240" w:lineRule="atLeast"/>
        <w:jc w:val="center"/>
        <w:rPr>
          <w:rFonts w:ascii="Calibri" w:hAnsi="Calibri"/>
          <w:spacing w:val="-10"/>
          <w:sz w:val="16"/>
          <w:szCs w:val="16"/>
        </w:rPr>
      </w:pPr>
      <w:r>
        <w:rPr>
          <w:rFonts w:ascii="Calibri" w:hAnsi="Calibri"/>
          <w:spacing w:val="-10"/>
          <w:sz w:val="16"/>
          <w:szCs w:val="16"/>
        </w:rPr>
        <w:t xml:space="preserve">Via Giacomo Genovino, 3 – </w:t>
      </w:r>
      <w:proofErr w:type="gramStart"/>
      <w:r>
        <w:rPr>
          <w:rFonts w:ascii="Calibri" w:hAnsi="Calibri"/>
          <w:spacing w:val="-10"/>
          <w:sz w:val="16"/>
          <w:szCs w:val="16"/>
        </w:rPr>
        <w:t>80075  Forio</w:t>
      </w:r>
      <w:proofErr w:type="gramEnd"/>
      <w:r>
        <w:rPr>
          <w:rFonts w:ascii="Calibri" w:hAnsi="Calibri"/>
          <w:spacing w:val="-10"/>
          <w:sz w:val="16"/>
          <w:szCs w:val="16"/>
        </w:rPr>
        <w:t xml:space="preserve"> (NA) - C.F.: </w:t>
      </w:r>
      <w:proofErr w:type="gramStart"/>
      <w:r>
        <w:rPr>
          <w:rFonts w:ascii="Calibri" w:hAnsi="Calibri"/>
          <w:spacing w:val="-10"/>
          <w:sz w:val="16"/>
          <w:szCs w:val="16"/>
        </w:rPr>
        <w:t>83000990636  –</w:t>
      </w:r>
      <w:proofErr w:type="gramEnd"/>
      <w:r>
        <w:rPr>
          <w:rFonts w:ascii="Calibri" w:hAnsi="Calibri"/>
          <w:spacing w:val="-10"/>
          <w:sz w:val="16"/>
          <w:szCs w:val="16"/>
        </w:rPr>
        <w:t xml:space="preserve">  P. I.V.A.: 01368590632</w:t>
      </w:r>
    </w:p>
    <w:p w14:paraId="0191E51D" w14:textId="7023503A" w:rsidR="00527409" w:rsidRPr="0059249C" w:rsidRDefault="00527409" w:rsidP="00527409">
      <w:pPr>
        <w:spacing w:line="240" w:lineRule="atLeast"/>
        <w:rPr>
          <w:rFonts w:ascii="Calibri" w:hAnsi="Calibri"/>
          <w:spacing w:val="-10"/>
          <w:sz w:val="16"/>
          <w:szCs w:val="16"/>
        </w:rPr>
      </w:pPr>
      <w:r>
        <w:rPr>
          <w:rFonts w:ascii="Calibri" w:hAnsi="Calibri"/>
          <w:spacing w:val="-10"/>
          <w:sz w:val="16"/>
          <w:szCs w:val="16"/>
        </w:rPr>
        <w:t xml:space="preserve">                                                                                                                           </w:t>
      </w:r>
      <w:hyperlink r:id="rId8" w:history="1">
        <w:r w:rsidRPr="00051E0C">
          <w:rPr>
            <w:rStyle w:val="Collegamentoipertestuale"/>
            <w:rFonts w:ascii="Calibri" w:hAnsi="Calibri"/>
            <w:spacing w:val="-10"/>
            <w:sz w:val="16"/>
            <w:szCs w:val="16"/>
          </w:rPr>
          <w:t>anagrafe@comune.forio.na.it</w:t>
        </w:r>
      </w:hyperlink>
      <w:r>
        <w:rPr>
          <w:rFonts w:ascii="Calibri" w:hAnsi="Calibri"/>
          <w:spacing w:val="-10"/>
          <w:sz w:val="16"/>
          <w:szCs w:val="16"/>
        </w:rPr>
        <w:t xml:space="preserve">    demografici@pec.comune.forio.na.it</w:t>
      </w:r>
    </w:p>
    <w:p w14:paraId="73D55C8B" w14:textId="77777777" w:rsidR="00527409" w:rsidRDefault="00527409" w:rsidP="00527409">
      <w:pPr>
        <w:widowControl w:val="0"/>
        <w:autoSpaceDE w:val="0"/>
        <w:autoSpaceDN w:val="0"/>
        <w:spacing w:after="0" w:line="211" w:lineRule="auto"/>
        <w:ind w:right="5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5D18081" w14:textId="15C9A541" w:rsidR="00527409" w:rsidRPr="00527409" w:rsidRDefault="00527409" w:rsidP="00527409">
      <w:pPr>
        <w:widowControl w:val="0"/>
        <w:autoSpaceDE w:val="0"/>
        <w:autoSpaceDN w:val="0"/>
        <w:spacing w:after="0" w:line="211" w:lineRule="auto"/>
        <w:ind w:right="5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527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Circolare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Prefettizia</w:t>
      </w:r>
      <w:r w:rsidRPr="00527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n. 1 </w:t>
      </w:r>
      <w:proofErr w:type="gramStart"/>
      <w:r w:rsidRPr="00527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El./</w:t>
      </w:r>
      <w:proofErr w:type="gramEnd"/>
      <w:r w:rsidRPr="00527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REF/2026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.</w:t>
      </w:r>
    </w:p>
    <w:p w14:paraId="67DDF6C0" w14:textId="0A704580" w:rsidR="00F22D5F" w:rsidRDefault="00F22D5F" w:rsidP="00F22D5F">
      <w:pPr>
        <w:widowControl w:val="0"/>
        <w:autoSpaceDE w:val="0"/>
        <w:autoSpaceDN w:val="0"/>
        <w:spacing w:after="0" w:line="211" w:lineRule="auto"/>
        <w:ind w:right="59"/>
        <w:jc w:val="both"/>
        <w:rPr>
          <w:rFonts w:ascii="Times New Roman" w:eastAsia="Times New Roman" w:hAnsi="Times New Roman" w:cs="Times New Roman"/>
          <w:color w:val="242424"/>
          <w:kern w:val="0"/>
          <w:sz w:val="23"/>
          <w:szCs w:val="23"/>
          <w14:ligatures w14:val="none"/>
        </w:rPr>
      </w:pP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Consultazioni elettorali e referendarie di domenica 22 e lunedì 23 marzo 2026. Referendum popolare confermativo della legge costituzionale recante: «Norme in materia di ordinamento giurisdizionale e di istituzione della Corte disciplinare», approvata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dal Parlamento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e pubblicata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nella Gazzetta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Ufficiale della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Repubblica italiana n. 253 del 30 ottobre 2025. Elezioni suppletive della Camera dei deputati nei collegi uninominali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01-Rovigo e 02-Selvazzano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Dentro della VIII circoscrizione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14:ligatures w14:val="none"/>
        </w:rPr>
        <w:t>Veneto 2 nei giorni di domenica 22 e lunedì 23 marzo 2026. – MODULO OPZIONE PER IL VOTO IN ITALIA DI ELETTORI ITALIANI RESIDENTI ALL’ESTERO</w:t>
      </w:r>
      <w:r>
        <w:rPr>
          <w:rFonts w:ascii="Times New Roman" w:eastAsia="Times New Roman" w:hAnsi="Times New Roman" w:cs="Times New Roman"/>
          <w:color w:val="242424"/>
          <w:kern w:val="0"/>
          <w:sz w:val="23"/>
          <w:szCs w:val="23"/>
          <w14:ligatures w14:val="none"/>
        </w:rPr>
        <w:t>.</w:t>
      </w:r>
    </w:p>
    <w:p w14:paraId="2F126220" w14:textId="77777777" w:rsidR="00F22D5F" w:rsidRPr="00F22D5F" w:rsidRDefault="00F22D5F" w:rsidP="00F22D5F">
      <w:pPr>
        <w:widowControl w:val="0"/>
        <w:autoSpaceDE w:val="0"/>
        <w:autoSpaceDN w:val="0"/>
        <w:spacing w:after="0" w:line="211" w:lineRule="auto"/>
        <w:ind w:left="1404" w:right="59" w:hanging="969"/>
        <w:jc w:val="both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</w:p>
    <w:p w14:paraId="0D6B0F76" w14:textId="77777777" w:rsidR="00F22D5F" w:rsidRPr="00F22D5F" w:rsidRDefault="00F22D5F" w:rsidP="00F22D5F">
      <w:pPr>
        <w:widowControl w:val="0"/>
        <w:autoSpaceDE w:val="0"/>
        <w:autoSpaceDN w:val="0"/>
        <w:spacing w:before="242" w:after="0" w:line="211" w:lineRule="auto"/>
        <w:ind w:left="440" w:right="45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Per il referendum in oggetto, gli elettori italiani residenti a1l'estero, ai sensi della legge 27 dicembre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2001, n. 459 e del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relativo regolamento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 attuazione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approvato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con D.P.R. 2 aprile 2003, n. 104, votano per corrispondenza.</w:t>
      </w:r>
    </w:p>
    <w:p w14:paraId="5F3CC8AE" w14:textId="2404795F" w:rsidR="00F22D5F" w:rsidRPr="00F22D5F" w:rsidRDefault="00F22D5F" w:rsidP="00F22D5F">
      <w:pPr>
        <w:widowControl w:val="0"/>
        <w:autoSpaceDE w:val="0"/>
        <w:autoSpaceDN w:val="0"/>
        <w:spacing w:before="245" w:after="0" w:line="213" w:lineRule="auto"/>
        <w:ind w:left="439" w:right="46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La predetta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normativa,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fa comunque salva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la possibilità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 votare in Italia, previa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apposita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 xml:space="preserve">e tempestiva </w:t>
      </w:r>
      <w:r w:rsidRPr="00F22D5F"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14:ligatures w14:val="none"/>
        </w:rPr>
        <w:t xml:space="preserve">opzione,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da esercitare in occasione di ogni consultazione</w:t>
      </w:r>
      <w:r w:rsidRPr="00F22D5F">
        <w:rPr>
          <w:rFonts w:ascii="Times New Roman" w:eastAsia="Times New Roman" w:hAnsi="Times New Roman" w:cs="Times New Roman"/>
          <w:color w:val="242424"/>
          <w:spacing w:val="4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popolare e valida limitatamente a essa.</w:t>
      </w:r>
    </w:p>
    <w:p w14:paraId="39EB987F" w14:textId="3837F49C" w:rsidR="00F22D5F" w:rsidRPr="00F22D5F" w:rsidRDefault="00F22D5F" w:rsidP="00F22D5F">
      <w:pPr>
        <w:widowControl w:val="0"/>
        <w:autoSpaceDE w:val="0"/>
        <w:autoSpaceDN w:val="0"/>
        <w:spacing w:before="242" w:after="0" w:line="211" w:lineRule="auto"/>
        <w:ind w:left="434" w:right="4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In particolare,</w:t>
      </w:r>
      <w:r w:rsidRPr="00F22D5F">
        <w:rPr>
          <w:rFonts w:ascii="Times New Roman" w:eastAsia="Times New Roman" w:hAnsi="Times New Roman" w:cs="Times New Roman"/>
          <w:color w:val="242424"/>
          <w:spacing w:val="19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nel caso</w:t>
      </w:r>
      <w:r w:rsidRPr="00F22D5F">
        <w:rPr>
          <w:rFonts w:ascii="Times New Roman" w:eastAsia="Times New Roman" w:hAnsi="Times New Roman" w:cs="Times New Roman"/>
          <w:color w:val="242424"/>
          <w:spacing w:val="1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 specie,</w:t>
      </w:r>
      <w:r w:rsidRPr="00F22D5F">
        <w:rPr>
          <w:rFonts w:ascii="Times New Roman" w:eastAsia="Times New Roman" w:hAnsi="Times New Roman" w:cs="Times New Roman"/>
          <w:color w:val="242424"/>
          <w:spacing w:val="2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il diritto</w:t>
      </w:r>
      <w:r w:rsidRPr="00F22D5F">
        <w:rPr>
          <w:rFonts w:ascii="Times New Roman" w:eastAsia="Times New Roman" w:hAnsi="Times New Roman" w:cs="Times New Roman"/>
          <w:color w:val="242424"/>
          <w:spacing w:val="1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 optare</w:t>
      </w:r>
      <w:r w:rsidRPr="00F22D5F">
        <w:rPr>
          <w:rFonts w:ascii="Times New Roman" w:eastAsia="Times New Roman" w:hAnsi="Times New Roman" w:cs="Times New Roman"/>
          <w:color w:val="242424"/>
          <w:spacing w:val="17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per il voto</w:t>
      </w:r>
      <w:r w:rsidRPr="00F22D5F">
        <w:rPr>
          <w:rFonts w:ascii="Times New Roman" w:eastAsia="Times New Roman" w:hAnsi="Times New Roman" w:cs="Times New Roman"/>
          <w:color w:val="242424"/>
          <w:spacing w:val="17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in Italia,</w:t>
      </w:r>
      <w:r w:rsidRPr="00F22D5F">
        <w:rPr>
          <w:rFonts w:ascii="Times New Roman" w:eastAsia="Times New Roman" w:hAnsi="Times New Roman" w:cs="Times New Roman"/>
          <w:color w:val="242424"/>
          <w:spacing w:val="23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ai sensi degli</w:t>
      </w:r>
      <w:r w:rsidRPr="00F22D5F">
        <w:rPr>
          <w:rFonts w:ascii="Times New Roman" w:eastAsia="Times New Roman" w:hAnsi="Times New Roman" w:cs="Times New Roman"/>
          <w:color w:val="242424"/>
          <w:spacing w:val="17"/>
          <w:kern w:val="0"/>
          <w:sz w:val="28"/>
          <w:szCs w:val="28"/>
          <w14:ligatures w14:val="none"/>
        </w:rPr>
        <w:t xml:space="preserve"> </w:t>
      </w:r>
      <w:proofErr w:type="spellStart"/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am</w:t>
      </w:r>
      <w:proofErr w:type="spellEnd"/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. 1, comma 3, e 4 della legge n. 459/2001 nonché dell'art. 4 del D.P.R. n. 104/2003, deve essere esercitato entro il decimo giorno successivo all’indizione del referendum (intendendo riferito tale termine</w:t>
      </w:r>
      <w:r w:rsidRPr="00F22D5F">
        <w:rPr>
          <w:rFonts w:ascii="Times New Roman" w:eastAsia="Times New Roman" w:hAnsi="Times New Roman" w:cs="Times New Roman"/>
          <w:color w:val="242424"/>
          <w:spacing w:val="21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alla</w:t>
      </w:r>
      <w:r w:rsidRPr="00F22D5F">
        <w:rPr>
          <w:rFonts w:ascii="Times New Roman" w:eastAsia="Times New Roman" w:hAnsi="Times New Roman" w:cs="Times New Roman"/>
          <w:color w:val="242424"/>
          <w:spacing w:val="22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data</w:t>
      </w:r>
      <w:r w:rsidRPr="00F22D5F">
        <w:rPr>
          <w:rFonts w:ascii="Times New Roman" w:eastAsia="Times New Roman" w:hAnsi="Times New Roman" w:cs="Times New Roman"/>
          <w:color w:val="242424"/>
          <w:spacing w:val="24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</w:t>
      </w:r>
      <w:r w:rsidRPr="00F22D5F">
        <w:rPr>
          <w:rFonts w:ascii="Times New Roman" w:eastAsia="Times New Roman" w:hAnsi="Times New Roman" w:cs="Times New Roman"/>
          <w:color w:val="242424"/>
          <w:spacing w:val="19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pubblicazione</w:t>
      </w:r>
      <w:r w:rsidRPr="00F22D5F">
        <w:rPr>
          <w:rFonts w:ascii="Times New Roman" w:eastAsia="Times New Roman" w:hAnsi="Times New Roman" w:cs="Times New Roman"/>
          <w:color w:val="242424"/>
          <w:spacing w:val="3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nella</w:t>
      </w:r>
      <w:r w:rsidRPr="00F22D5F">
        <w:rPr>
          <w:rFonts w:ascii="Times New Roman" w:eastAsia="Times New Roman" w:hAnsi="Times New Roman" w:cs="Times New Roman"/>
          <w:color w:val="242424"/>
          <w:spacing w:val="22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Gazzetta</w:t>
      </w:r>
      <w:r w:rsidRPr="00F22D5F">
        <w:rPr>
          <w:rFonts w:ascii="Times New Roman" w:eastAsia="Times New Roman" w:hAnsi="Times New Roman" w:cs="Times New Roman"/>
          <w:color w:val="242424"/>
          <w:spacing w:val="33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Ufficiale</w:t>
      </w:r>
      <w:r w:rsidRPr="00F22D5F">
        <w:rPr>
          <w:rFonts w:ascii="Times New Roman" w:eastAsia="Times New Roman" w:hAnsi="Times New Roman" w:cs="Times New Roman"/>
          <w:color w:val="242424"/>
          <w:spacing w:val="28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del</w:t>
      </w:r>
      <w:r w:rsidRPr="00F22D5F">
        <w:rPr>
          <w:rFonts w:ascii="Times New Roman" w:eastAsia="Times New Roman" w:hAnsi="Times New Roman" w:cs="Times New Roman"/>
          <w:color w:val="242424"/>
          <w:spacing w:val="17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decreto</w:t>
      </w:r>
      <w:r w:rsidRPr="00F22D5F">
        <w:rPr>
          <w:rFonts w:ascii="Times New Roman" w:eastAsia="Times New Roman" w:hAnsi="Times New Roman" w:cs="Times New Roman"/>
          <w:color w:val="242424"/>
          <w:spacing w:val="20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</w:t>
      </w:r>
      <w:r w:rsidRPr="00F22D5F">
        <w:rPr>
          <w:rFonts w:ascii="Times New Roman" w:eastAsia="Times New Roman" w:hAnsi="Times New Roman" w:cs="Times New Roman"/>
          <w:color w:val="242424"/>
          <w:spacing w:val="1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indizione)</w:t>
      </w:r>
      <w:r w:rsidRPr="00F22D5F">
        <w:rPr>
          <w:rFonts w:ascii="Times New Roman" w:eastAsia="Times New Roman" w:hAnsi="Times New Roman" w:cs="Times New Roman"/>
          <w:color w:val="242424"/>
          <w:spacing w:val="37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e</w:t>
      </w:r>
      <w:r w:rsidRPr="00F22D5F">
        <w:rPr>
          <w:rFonts w:ascii="Times New Roman" w:eastAsia="Times New Roman" w:hAnsi="Times New Roman" w:cs="Times New Roman"/>
          <w:color w:val="242424"/>
          <w:spacing w:val="17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cioè</w:t>
      </w:r>
      <w:r w:rsidRPr="00F22D5F">
        <w:rPr>
          <w:rFonts w:ascii="Times New Roman" w:eastAsia="Times New Roman" w:hAnsi="Times New Roman" w:cs="Times New Roman"/>
          <w:color w:val="242424"/>
          <w:spacing w:val="22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 xml:space="preserve">entro </w:t>
      </w:r>
      <w:r w:rsidRPr="00F22D5F"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14:ligatures w14:val="none"/>
        </w:rPr>
        <w:t xml:space="preserve">il prossimo 24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 xml:space="preserve">gennaio </w:t>
      </w:r>
      <w:r w:rsidRPr="00F22D5F"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14:ligatures w14:val="none"/>
        </w:rPr>
        <w:t xml:space="preserve">2026,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preferibilmente utilizzando il modello allegato alla presente</w:t>
      </w:r>
      <w:r w:rsidRPr="00F22D5F">
        <w:rPr>
          <w:rFonts w:ascii="Times New Roman" w:eastAsia="Times New Roman" w:hAnsi="Times New Roman" w:cs="Times New Roman"/>
          <w:color w:val="242424"/>
          <w:spacing w:val="-2"/>
          <w:kern w:val="0"/>
          <w:sz w:val="28"/>
          <w:szCs w:val="28"/>
          <w14:ligatures w14:val="none"/>
        </w:rPr>
        <w:t>.</w:t>
      </w:r>
    </w:p>
    <w:p w14:paraId="26EA7CE3" w14:textId="77777777" w:rsidR="00F22D5F" w:rsidRPr="00F22D5F" w:rsidRDefault="00F22D5F" w:rsidP="00F22D5F">
      <w:pPr>
        <w:widowControl w:val="0"/>
        <w:autoSpaceDE w:val="0"/>
        <w:autoSpaceDN w:val="0"/>
        <w:spacing w:before="250" w:after="0" w:line="211" w:lineRule="auto"/>
        <w:ind w:left="434" w:right="49"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</w:pP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 xml:space="preserve">L'opzione </w:t>
      </w:r>
      <w:r w:rsidRPr="00F22D5F"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14:ligatures w14:val="none"/>
        </w:rPr>
        <w:t xml:space="preserve">dovrà pervenire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entro il termine sopraindicato al1’Ufficio consolare operante nella circoscrizione</w:t>
      </w:r>
      <w:r w:rsidRPr="00F22D5F">
        <w:rPr>
          <w:rFonts w:ascii="Times New Roman" w:eastAsia="Times New Roman" w:hAnsi="Times New Roman" w:cs="Times New Roman"/>
          <w:color w:val="242424"/>
          <w:spacing w:val="-11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di residenza del1'e1ettore e potrà essere revocata con</w:t>
      </w:r>
      <w:r w:rsidRPr="00F22D5F">
        <w:rPr>
          <w:rFonts w:ascii="Times New Roman" w:eastAsia="Times New Roman" w:hAnsi="Times New Roman" w:cs="Times New Roman"/>
          <w:color w:val="242424"/>
          <w:spacing w:val="-2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le</w:t>
      </w:r>
      <w:r w:rsidRPr="00F22D5F">
        <w:rPr>
          <w:rFonts w:ascii="Times New Roman" w:eastAsia="Times New Roman" w:hAnsi="Times New Roman" w:cs="Times New Roman"/>
          <w:color w:val="242424"/>
          <w:spacing w:val="-1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medesime modalità ed entro gli stessi termini previsti per il suo esercizio.</w:t>
      </w:r>
    </w:p>
    <w:p w14:paraId="784DD1F7" w14:textId="49088776" w:rsidR="00F22D5F" w:rsidRDefault="00F22D5F" w:rsidP="00F22D5F">
      <w:pPr>
        <w:widowControl w:val="0"/>
        <w:autoSpaceDE w:val="0"/>
        <w:autoSpaceDN w:val="0"/>
        <w:spacing w:before="250" w:after="0" w:line="211" w:lineRule="auto"/>
        <w:ind w:left="434" w:right="49"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</w:pP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Qualora</w:t>
      </w:r>
      <w:r w:rsidRPr="00F22D5F">
        <w:rPr>
          <w:rFonts w:ascii="Times New Roman" w:eastAsia="Times New Roman" w:hAnsi="Times New Roman" w:cs="Times New Roman"/>
          <w:color w:val="242424"/>
          <w:spacing w:val="33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l'opzione</w:t>
      </w:r>
      <w:r w:rsidRPr="00F22D5F">
        <w:rPr>
          <w:rFonts w:ascii="Times New Roman" w:eastAsia="Times New Roman" w:hAnsi="Times New Roman" w:cs="Times New Roman"/>
          <w:color w:val="242424"/>
          <w:spacing w:val="28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venga</w:t>
      </w:r>
      <w:r w:rsidRPr="00F22D5F">
        <w:rPr>
          <w:rFonts w:ascii="Times New Roman" w:eastAsia="Times New Roman" w:hAnsi="Times New Roman" w:cs="Times New Roman"/>
          <w:color w:val="242424"/>
          <w:spacing w:val="2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inviata</w:t>
      </w:r>
      <w:r w:rsidRPr="00F22D5F">
        <w:rPr>
          <w:rFonts w:ascii="Times New Roman" w:eastAsia="Times New Roman" w:hAnsi="Times New Roman" w:cs="Times New Roman"/>
          <w:color w:val="242424"/>
          <w:spacing w:val="3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per</w:t>
      </w:r>
      <w:r w:rsidRPr="00F22D5F">
        <w:rPr>
          <w:rFonts w:ascii="Times New Roman" w:eastAsia="Times New Roman" w:hAnsi="Times New Roman" w:cs="Times New Roman"/>
          <w:color w:val="242424"/>
          <w:spacing w:val="2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posta,</w:t>
      </w:r>
      <w:r w:rsidRPr="00F22D5F">
        <w:rPr>
          <w:rFonts w:ascii="Times New Roman" w:eastAsia="Times New Roman" w:hAnsi="Times New Roman" w:cs="Times New Roman"/>
          <w:color w:val="242424"/>
          <w:spacing w:val="2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l'elettore</w:t>
      </w:r>
      <w:r w:rsidRPr="00F22D5F">
        <w:rPr>
          <w:rFonts w:ascii="Times New Roman" w:eastAsia="Times New Roman" w:hAnsi="Times New Roman" w:cs="Times New Roman"/>
          <w:color w:val="242424"/>
          <w:spacing w:val="31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ha</w:t>
      </w:r>
      <w:r w:rsidRPr="00F22D5F">
        <w:rPr>
          <w:rFonts w:ascii="Times New Roman" w:eastAsia="Times New Roman" w:hAnsi="Times New Roman" w:cs="Times New Roman"/>
          <w:color w:val="242424"/>
          <w:spacing w:val="2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l'onere di accertarne</w:t>
      </w:r>
      <w:r w:rsidRPr="00F22D5F">
        <w:rPr>
          <w:rFonts w:ascii="Times New Roman" w:eastAsia="Times New Roman" w:hAnsi="Times New Roman" w:cs="Times New Roman"/>
          <w:color w:val="242424"/>
          <w:spacing w:val="36"/>
          <w:kern w:val="0"/>
          <w:sz w:val="28"/>
          <w:szCs w:val="28"/>
          <w14:ligatures w14:val="none"/>
        </w:rPr>
        <w:t xml:space="preserve"> </w:t>
      </w:r>
      <w:r w:rsidRPr="00F22D5F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la ricezione, da parte del1’Ufficio consolare, entro il termine prescritto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  <w:t>.</w:t>
      </w:r>
    </w:p>
    <w:p w14:paraId="5B2226E1" w14:textId="77777777" w:rsidR="00F22D5F" w:rsidRDefault="00F22D5F" w:rsidP="00F22D5F">
      <w:pPr>
        <w:widowControl w:val="0"/>
        <w:autoSpaceDE w:val="0"/>
        <w:autoSpaceDN w:val="0"/>
        <w:spacing w:before="250" w:after="0" w:line="211" w:lineRule="auto"/>
        <w:ind w:left="434" w:right="49"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</w:pPr>
    </w:p>
    <w:p w14:paraId="01E4A8C7" w14:textId="77777777" w:rsidR="00F22D5F" w:rsidRDefault="00F22D5F" w:rsidP="00F22D5F">
      <w:pPr>
        <w:widowControl w:val="0"/>
        <w:autoSpaceDE w:val="0"/>
        <w:autoSpaceDN w:val="0"/>
        <w:spacing w:before="250" w:after="0" w:line="211" w:lineRule="auto"/>
        <w:ind w:left="434" w:right="49"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</w:pPr>
    </w:p>
    <w:p w14:paraId="6F5D5F8E" w14:textId="77777777" w:rsidR="00F22D5F" w:rsidRDefault="00F22D5F" w:rsidP="00F22D5F">
      <w:pPr>
        <w:widowControl w:val="0"/>
        <w:autoSpaceDE w:val="0"/>
        <w:autoSpaceDN w:val="0"/>
        <w:spacing w:before="250" w:after="0" w:line="211" w:lineRule="auto"/>
        <w:ind w:left="434" w:right="49"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14:ligatures w14:val="none"/>
        </w:rPr>
      </w:pPr>
    </w:p>
    <w:p w14:paraId="4C0ECAFA" w14:textId="17F2E1B0" w:rsidR="00F22D5F" w:rsidRPr="00F22D5F" w:rsidRDefault="00F22D5F" w:rsidP="00F22D5F">
      <w:pPr>
        <w:widowControl w:val="0"/>
        <w:autoSpaceDE w:val="0"/>
        <w:autoSpaceDN w:val="0"/>
        <w:spacing w:before="250" w:after="0" w:line="211" w:lineRule="auto"/>
        <w:ind w:left="434" w:right="49"/>
        <w:jc w:val="both"/>
        <w:rPr>
          <w:sz w:val="28"/>
          <w:szCs w:val="28"/>
        </w:rPr>
      </w:pPr>
      <w:r w:rsidRPr="00F22D5F">
        <w:rPr>
          <w:noProof/>
        </w:rPr>
        <w:lastRenderedPageBreak/>
        <w:drawing>
          <wp:inline distT="0" distB="0" distL="0" distR="0" wp14:anchorId="02BFE5B3" wp14:editId="46966DE0">
            <wp:extent cx="6120130" cy="8644255"/>
            <wp:effectExtent l="0" t="0" r="0" b="0"/>
            <wp:docPr id="86892614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2D5F" w:rsidRPr="00F22D5F" w:rsidSect="00527409">
      <w:headerReference w:type="default" r:id="rId10"/>
      <w:pgSz w:w="11906" w:h="16838"/>
      <w:pgMar w:top="129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DE6D0" w14:textId="77777777" w:rsidR="00144369" w:rsidRDefault="00144369" w:rsidP="00F22D5F">
      <w:pPr>
        <w:spacing w:after="0" w:line="240" w:lineRule="auto"/>
      </w:pPr>
      <w:r>
        <w:separator/>
      </w:r>
    </w:p>
  </w:endnote>
  <w:endnote w:type="continuationSeparator" w:id="0">
    <w:p w14:paraId="22EA542D" w14:textId="77777777" w:rsidR="00144369" w:rsidRDefault="00144369" w:rsidP="00F22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9FCCE" w14:textId="77777777" w:rsidR="00144369" w:rsidRDefault="00144369" w:rsidP="00F22D5F">
      <w:pPr>
        <w:spacing w:after="0" w:line="240" w:lineRule="auto"/>
      </w:pPr>
      <w:r>
        <w:separator/>
      </w:r>
    </w:p>
  </w:footnote>
  <w:footnote w:type="continuationSeparator" w:id="0">
    <w:p w14:paraId="0B2E8228" w14:textId="77777777" w:rsidR="00144369" w:rsidRDefault="00144369" w:rsidP="00F22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02D1" w14:textId="75A59A96" w:rsidR="00F22D5F" w:rsidRDefault="00F22D5F" w:rsidP="00F22D5F">
    <w:pPr>
      <w:framePr w:w="1272" w:hSpace="141" w:wrap="around" w:vAnchor="text" w:hAnchor="page" w:x="1507" w:y="185"/>
      <w:ind w:left="-426" w:right="79"/>
      <w:jc w:val="center"/>
    </w:pPr>
  </w:p>
  <w:p w14:paraId="3F8DD640" w14:textId="3888DD7B" w:rsidR="00F22D5F" w:rsidRPr="0059249C" w:rsidRDefault="00F22D5F" w:rsidP="00F22D5F">
    <w:pPr>
      <w:pStyle w:val="Didascalia"/>
      <w:spacing w:line="240" w:lineRule="atLeast"/>
      <w:ind w:left="-284"/>
      <w:rPr>
        <w:rFonts w:ascii="Calibri" w:hAnsi="Calibri"/>
        <w:spacing w:val="-10"/>
        <w:sz w:val="16"/>
        <w:szCs w:val="16"/>
      </w:rPr>
    </w:pPr>
    <w:r>
      <w:rPr>
        <w:sz w:val="48"/>
        <w:szCs w:val="48"/>
      </w:rPr>
      <w:t xml:space="preserve"> </w:t>
    </w:r>
  </w:p>
  <w:p w14:paraId="570E4392" w14:textId="77777777" w:rsidR="00F22D5F" w:rsidRDefault="00F22D5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D3A9D"/>
    <w:multiLevelType w:val="hybridMultilevel"/>
    <w:tmpl w:val="AC9086B4"/>
    <w:lvl w:ilvl="0" w:tplc="41801684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31E2AAC">
      <w:numFmt w:val="bullet"/>
      <w:lvlText w:val="•"/>
      <w:lvlJc w:val="left"/>
      <w:pPr>
        <w:ind w:left="1442" w:hanging="360"/>
      </w:pPr>
      <w:rPr>
        <w:rFonts w:hint="default"/>
        <w:lang w:val="it-IT" w:eastAsia="en-US" w:bidi="ar-SA"/>
      </w:rPr>
    </w:lvl>
    <w:lvl w:ilvl="2" w:tplc="5342689A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37A62ADA">
      <w:numFmt w:val="bullet"/>
      <w:lvlText w:val="•"/>
      <w:lvlJc w:val="left"/>
      <w:pPr>
        <w:ind w:left="3328" w:hanging="360"/>
      </w:pPr>
      <w:rPr>
        <w:rFonts w:hint="default"/>
        <w:lang w:val="it-IT" w:eastAsia="en-US" w:bidi="ar-SA"/>
      </w:rPr>
    </w:lvl>
    <w:lvl w:ilvl="4" w:tplc="3C3AE1FC">
      <w:numFmt w:val="bullet"/>
      <w:lvlText w:val="•"/>
      <w:lvlJc w:val="left"/>
      <w:pPr>
        <w:ind w:left="4270" w:hanging="360"/>
      </w:pPr>
      <w:rPr>
        <w:rFonts w:hint="default"/>
        <w:lang w:val="it-IT" w:eastAsia="en-US" w:bidi="ar-SA"/>
      </w:rPr>
    </w:lvl>
    <w:lvl w:ilvl="5" w:tplc="0F8A701C">
      <w:numFmt w:val="bullet"/>
      <w:lvlText w:val="•"/>
      <w:lvlJc w:val="left"/>
      <w:pPr>
        <w:ind w:left="5213" w:hanging="360"/>
      </w:pPr>
      <w:rPr>
        <w:rFonts w:hint="default"/>
        <w:lang w:val="it-IT" w:eastAsia="en-US" w:bidi="ar-SA"/>
      </w:rPr>
    </w:lvl>
    <w:lvl w:ilvl="6" w:tplc="4C5A6B5A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C0A4ED1C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DC08E14C">
      <w:numFmt w:val="bullet"/>
      <w:lvlText w:val="•"/>
      <w:lvlJc w:val="left"/>
      <w:pPr>
        <w:ind w:left="8041" w:hanging="360"/>
      </w:pPr>
      <w:rPr>
        <w:rFonts w:hint="default"/>
        <w:lang w:val="it-IT" w:eastAsia="en-US" w:bidi="ar-SA"/>
      </w:rPr>
    </w:lvl>
  </w:abstractNum>
  <w:num w:numId="1" w16cid:durableId="628244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D5F"/>
    <w:rsid w:val="0001766E"/>
    <w:rsid w:val="000D7D3D"/>
    <w:rsid w:val="00144369"/>
    <w:rsid w:val="00494884"/>
    <w:rsid w:val="00527409"/>
    <w:rsid w:val="008F22BD"/>
    <w:rsid w:val="00B73303"/>
    <w:rsid w:val="00E243DC"/>
    <w:rsid w:val="00F2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C87F5"/>
  <w15:chartTrackingRefBased/>
  <w15:docId w15:val="{4494BEED-408F-4DFD-8179-F13D98B9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22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22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22D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22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22D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22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22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22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22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22D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22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22D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22D5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22D5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22D5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22D5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22D5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22D5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22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22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22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22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22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22D5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22D5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22D5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22D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22D5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22D5F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F22D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2D5F"/>
  </w:style>
  <w:style w:type="paragraph" w:styleId="Pidipagina">
    <w:name w:val="footer"/>
    <w:basedOn w:val="Normale"/>
    <w:link w:val="PidipaginaCarattere"/>
    <w:uiPriority w:val="99"/>
    <w:unhideWhenUsed/>
    <w:rsid w:val="00F22D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2D5F"/>
  </w:style>
  <w:style w:type="paragraph" w:styleId="Didascalia">
    <w:name w:val="caption"/>
    <w:basedOn w:val="Normale"/>
    <w:next w:val="Normale"/>
    <w:qFormat/>
    <w:rsid w:val="00F22D5F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56"/>
      <w:szCs w:val="20"/>
      <w:lang w:eastAsia="it-IT"/>
      <w14:ligatures w14:val="none"/>
    </w:rPr>
  </w:style>
  <w:style w:type="character" w:styleId="Collegamentoipertestuale">
    <w:name w:val="Hyperlink"/>
    <w:rsid w:val="00F22D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grafe@comune.forio.na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Elettorale</dc:creator>
  <cp:keywords/>
  <dc:description/>
  <cp:lastModifiedBy>User</cp:lastModifiedBy>
  <cp:revision>2</cp:revision>
  <dcterms:created xsi:type="dcterms:W3CDTF">2026-01-21T12:18:00Z</dcterms:created>
  <dcterms:modified xsi:type="dcterms:W3CDTF">2026-01-21T12:18:00Z</dcterms:modified>
</cp:coreProperties>
</file>